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>Сведения о типичных нарушениях, совершаемых субъектами хозяйствования по итогам 1-го полугодия 2024 года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Специалистами Лельчицкого районного ЦГЭ в первом полугодии </w:t>
      </w:r>
      <w:proofErr w:type="spellStart"/>
      <w:r w:rsidRPr="00F65DFB">
        <w:t>т.г</w:t>
      </w:r>
      <w:proofErr w:type="spellEnd"/>
      <w:r w:rsidRPr="00F65DFB">
        <w:t>. организован и проведен ряд надзорных мероприятий по соблюдению требований законодательства в области санитарно-эпидемиологического благополучия населения на объектах торговли и общественного питания Лельчицкого района.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Надзорными мероприятиями охвачено </w:t>
      </w:r>
      <w:r w:rsidR="003B043B" w:rsidRPr="00F65DFB">
        <w:t>92</w:t>
      </w:r>
      <w:r w:rsidRPr="00F65DFB">
        <w:t xml:space="preserve"> объект</w:t>
      </w:r>
      <w:r w:rsidR="003B043B" w:rsidRPr="00F65DFB">
        <w:t>а</w:t>
      </w:r>
      <w:r w:rsidRPr="00F65DFB">
        <w:t xml:space="preserve"> торговли и общественного питания различных форм собственности, в </w:t>
      </w:r>
      <w:proofErr w:type="spellStart"/>
      <w:r w:rsidRPr="00F65DFB">
        <w:t>т.ч</w:t>
      </w:r>
      <w:proofErr w:type="spellEnd"/>
      <w:r w:rsidRPr="00F65DFB">
        <w:t xml:space="preserve">. повторно охвачено </w:t>
      </w:r>
      <w:r w:rsidR="003B043B" w:rsidRPr="00F65DFB">
        <w:t>33</w:t>
      </w:r>
      <w:r w:rsidRPr="00F65DFB">
        <w:t xml:space="preserve"> объект</w:t>
      </w:r>
      <w:r w:rsidR="003B043B" w:rsidRPr="00F65DFB">
        <w:t>а</w:t>
      </w:r>
      <w:r w:rsidRPr="00F65DFB">
        <w:t>.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>Нарушения требований санитарно-эпидемиологического законодательства, представляющие вероятность возникновения угрозы причинения вреда жизни и здоровью населения, установлены на 9</w:t>
      </w:r>
      <w:r w:rsidR="003B043B" w:rsidRPr="00F65DFB">
        <w:t xml:space="preserve">7,8 </w:t>
      </w:r>
      <w:r w:rsidRPr="00F65DFB">
        <w:t xml:space="preserve">% объектах торговли и общественного питания из </w:t>
      </w:r>
      <w:r w:rsidR="00F65DFB" w:rsidRPr="00F65DFB">
        <w:t>92</w:t>
      </w:r>
      <w:r w:rsidRPr="00F65DFB">
        <w:t xml:space="preserve"> обследованных, из них: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реализация пищевых продуктов с истекшими сроками годности установлена на </w:t>
      </w:r>
      <w:r w:rsidR="003B043B" w:rsidRPr="00F65DFB">
        <w:t>19</w:t>
      </w:r>
      <w:r w:rsidRPr="00F65DFB">
        <w:t xml:space="preserve"> объектах;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реализации пищевой продукции без документов, обеспечивающих прослеживаемость и подтверждающих качество и безопасность, на </w:t>
      </w:r>
      <w:r w:rsidR="003B043B" w:rsidRPr="00F65DFB">
        <w:t>3</w:t>
      </w:r>
      <w:r w:rsidRPr="00F65DFB">
        <w:t>-х объектах;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отсутствием маркировочных ярлыков или реализация пищевой продукции с недостаточной информацией на маркировочных ярлыках установлена на </w:t>
      </w:r>
      <w:r w:rsidR="003B043B" w:rsidRPr="00F65DFB">
        <w:t>9</w:t>
      </w:r>
      <w:r w:rsidRPr="00F65DFB">
        <w:t xml:space="preserve"> объектах торговли;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реализация пищевой продукции с признаками порчи установлена на </w:t>
      </w:r>
      <w:r w:rsidR="003B043B" w:rsidRPr="00F65DFB">
        <w:t>17</w:t>
      </w:r>
      <w:r w:rsidRPr="00F65DFB">
        <w:t xml:space="preserve"> объектах;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нарушения условий хранения, в том числе температурных режимов при хранении скоропортящейся продукции установлены на </w:t>
      </w:r>
      <w:r w:rsidR="003B043B" w:rsidRPr="00F65DFB">
        <w:t>9</w:t>
      </w:r>
      <w:r w:rsidRPr="00F65DFB">
        <w:t xml:space="preserve"> объектах;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- не удовлетворительное санитарное состояние торговых помещений и оборудования установлено на </w:t>
      </w:r>
      <w:r w:rsidR="003B043B" w:rsidRPr="00F65DFB">
        <w:t>18</w:t>
      </w:r>
      <w:r w:rsidRPr="00F65DFB">
        <w:t xml:space="preserve"> объектах;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>-  работниками, занятыми обращением пищевой продукции, не пройдено в установленном законодательством Республики Беларусь порядке гигиеническое обучение на 6-и объектах.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>По результатам надз</w:t>
      </w:r>
      <w:r w:rsidR="00F65DFB" w:rsidRPr="00F65DFB">
        <w:t>орных мероприятий были вынесены</w:t>
      </w:r>
      <w:r w:rsidRPr="00F65DFB">
        <w:t xml:space="preserve"> </w:t>
      </w:r>
      <w:r w:rsidR="003B043B" w:rsidRPr="00F65DFB">
        <w:t>64</w:t>
      </w:r>
      <w:r w:rsidR="00F65DFB" w:rsidRPr="00F65DFB">
        <w:t xml:space="preserve"> предписания</w:t>
      </w:r>
      <w:r w:rsidRPr="00F65DFB">
        <w:t xml:space="preserve"> о запрещении реализации пищевой продукции с истекшими сроками годности, с нарушением маркировки, с нарушением условий хранения</w:t>
      </w:r>
      <w:r w:rsidR="003B043B" w:rsidRPr="00F65DFB">
        <w:t>, неудовлетворительными результатами лабораторного контроля</w:t>
      </w:r>
      <w:r w:rsidRPr="00F65DFB">
        <w:t xml:space="preserve"> общим весом </w:t>
      </w:r>
      <w:r w:rsidR="003B043B" w:rsidRPr="00F65DFB">
        <w:t xml:space="preserve">1138,3 </w:t>
      </w:r>
      <w:r w:rsidRPr="00F65DFB">
        <w:t xml:space="preserve">кг, </w:t>
      </w:r>
      <w:r w:rsidR="003B043B" w:rsidRPr="00F65DFB">
        <w:t>18</w:t>
      </w:r>
      <w:r w:rsidRPr="00F65DFB">
        <w:t xml:space="preserve"> предписаний о приостановлении торговых объектов на проведение вн</w:t>
      </w:r>
      <w:r w:rsidR="003B043B" w:rsidRPr="00F65DFB">
        <w:t>еочередной генеральной уборки, 7</w:t>
      </w:r>
      <w:r w:rsidRPr="00F65DFB">
        <w:t xml:space="preserve"> предписаний о приостановлении реализации товаров (ограничении ассортимента). В адрес субъектов хозяйствования также направлено 26 предписаний/рекомендаций по устранению выявленных нарушений.</w:t>
      </w:r>
    </w:p>
    <w:p w:rsidR="00EC6B0F" w:rsidRPr="00F65DFB" w:rsidRDefault="00EC6B0F" w:rsidP="00F65DFB">
      <w:pPr>
        <w:spacing w:after="0" w:line="240" w:lineRule="auto"/>
        <w:ind w:firstLine="709"/>
        <w:contextualSpacing/>
        <w:jc w:val="both"/>
      </w:pPr>
      <w:r w:rsidRPr="00F65DFB">
        <w:t xml:space="preserve">К административной ответственности привлечены </w:t>
      </w:r>
      <w:r w:rsidR="003B043B" w:rsidRPr="00F65DFB">
        <w:t xml:space="preserve">12 </w:t>
      </w:r>
      <w:r w:rsidRPr="00F65DFB">
        <w:t xml:space="preserve">юридических и </w:t>
      </w:r>
      <w:r w:rsidR="003B043B" w:rsidRPr="00F65DFB">
        <w:t>52</w:t>
      </w:r>
      <w:r w:rsidRPr="00F65DFB">
        <w:t xml:space="preserve"> должностных лиц</w:t>
      </w:r>
      <w:r w:rsidR="003B043B" w:rsidRPr="00F65DFB">
        <w:t>а</w:t>
      </w:r>
      <w:r w:rsidRPr="00F65DFB">
        <w:t>.</w:t>
      </w:r>
    </w:p>
    <w:p w:rsidR="00EC6B0F" w:rsidRPr="00F65DFB" w:rsidRDefault="00EC6B0F" w:rsidP="00F65DFB">
      <w:pPr>
        <w:spacing w:after="0" w:line="240" w:lineRule="auto"/>
        <w:jc w:val="both"/>
        <w:rPr>
          <w:sz w:val="18"/>
          <w:szCs w:val="18"/>
        </w:rPr>
      </w:pPr>
      <w:r w:rsidRPr="00F65DFB">
        <w:tab/>
        <w:t xml:space="preserve">За </w:t>
      </w:r>
      <w:r w:rsidR="00BF1DD6" w:rsidRPr="00F65DFB">
        <w:t xml:space="preserve">первое </w:t>
      </w:r>
      <w:r w:rsidRPr="00F65DFB">
        <w:t>полугодие 202</w:t>
      </w:r>
      <w:r w:rsidR="00BF1DD6" w:rsidRPr="00F65DFB">
        <w:t>4</w:t>
      </w:r>
      <w:r w:rsidRPr="00F65DFB">
        <w:t xml:space="preserve"> года по разделу гигиены детей и подростков проведено </w:t>
      </w:r>
      <w:r w:rsidR="00BF1DD6" w:rsidRPr="00F65DFB">
        <w:t>83</w:t>
      </w:r>
      <w:r w:rsidRPr="00F65DFB">
        <w:t xml:space="preserve"> надзорных мероприятий (мониторингов – </w:t>
      </w:r>
      <w:r w:rsidR="00E7797B" w:rsidRPr="00F65DFB">
        <w:t>1</w:t>
      </w:r>
      <w:r w:rsidRPr="00F65DFB">
        <w:t xml:space="preserve">, МТТХ – </w:t>
      </w:r>
      <w:r w:rsidR="00E7797B" w:rsidRPr="00F65DFB">
        <w:t>46</w:t>
      </w:r>
      <w:r w:rsidRPr="00F65DFB">
        <w:t xml:space="preserve">, </w:t>
      </w:r>
      <w:r w:rsidRPr="00F65DFB">
        <w:lastRenderedPageBreak/>
        <w:t xml:space="preserve">контрольная проверка – </w:t>
      </w:r>
      <w:r w:rsidR="00E7797B" w:rsidRPr="00F65DFB">
        <w:t>14</w:t>
      </w:r>
      <w:r w:rsidRPr="00F65DFB">
        <w:t xml:space="preserve">, посещения – </w:t>
      </w:r>
      <w:r w:rsidR="00E7797B" w:rsidRPr="00F65DFB">
        <w:t>22</w:t>
      </w:r>
      <w:r w:rsidRPr="00F65DFB">
        <w:t>) по соблюдению требовани</w:t>
      </w:r>
      <w:bookmarkStart w:id="0" w:name="_GoBack"/>
      <w:bookmarkEnd w:id="0"/>
      <w:r w:rsidRPr="00F65DFB">
        <w:t>й санитарно-эпидемиологического законодательства в учреждениях образования и воспитания, торговых объектах, реализующих товары для детей.  В рамках проведения надзорных мероприятий охвачены все детские дошкольные учреждения и учреждения образования, а также летние оздоровительные организации на базах учреждений образования в период летних каникул.</w:t>
      </w:r>
    </w:p>
    <w:p w:rsidR="00EC6B0F" w:rsidRPr="00F65DFB" w:rsidRDefault="00EC6B0F" w:rsidP="00F65DFB">
      <w:pPr>
        <w:spacing w:after="0" w:line="240" w:lineRule="auto"/>
        <w:jc w:val="both"/>
        <w:rPr>
          <w:sz w:val="18"/>
          <w:szCs w:val="18"/>
        </w:rPr>
      </w:pPr>
      <w:r w:rsidRPr="00F65DFB">
        <w:tab/>
        <w:t>В ходе госсаннадзора проведено исследование 1</w:t>
      </w:r>
      <w:r w:rsidR="00BF1DD6" w:rsidRPr="00F65DFB">
        <w:t>4</w:t>
      </w:r>
      <w:r w:rsidRPr="00F65DFB">
        <w:t xml:space="preserve"> рационов питания на к</w:t>
      </w:r>
      <w:r w:rsidR="00F65DFB" w:rsidRPr="00F65DFB">
        <w:t>алорийность и химический состав,</w:t>
      </w:r>
      <w:r w:rsidRPr="00F65DFB">
        <w:t xml:space="preserve"> </w:t>
      </w:r>
      <w:r w:rsidR="00BF1DD6" w:rsidRPr="00F65DFB">
        <w:t>15</w:t>
      </w:r>
      <w:r w:rsidRPr="00F65DFB">
        <w:t xml:space="preserve"> кулинарных блюд на выпол</w:t>
      </w:r>
      <w:r w:rsidR="00F65DFB" w:rsidRPr="00F65DFB">
        <w:t>нение коэффициента калорийности,</w:t>
      </w:r>
      <w:r w:rsidRPr="00F65DFB">
        <w:t xml:space="preserve"> </w:t>
      </w:r>
      <w:r w:rsidR="00BF1DD6" w:rsidRPr="00F65DFB">
        <w:t>14</w:t>
      </w:r>
      <w:r w:rsidRPr="00F65DFB">
        <w:t xml:space="preserve"> блюд на содержание аскорбиновой кислоты при выполнении искусственной витаминизации блюд. За указанный период только в </w:t>
      </w:r>
      <w:r w:rsidR="00BF1DD6" w:rsidRPr="00F65DFB">
        <w:t>1</w:t>
      </w:r>
      <w:r w:rsidRPr="00F65DFB">
        <w:t xml:space="preserve"> </w:t>
      </w:r>
      <w:r w:rsidR="00BF1DD6" w:rsidRPr="00F65DFB">
        <w:t xml:space="preserve">кулинарном блюде </w:t>
      </w:r>
      <w:r w:rsidRPr="00F65DFB">
        <w:t xml:space="preserve">установлены несоответствия </w:t>
      </w:r>
      <w:r w:rsidR="00BF1DD6" w:rsidRPr="00F65DFB">
        <w:t>коэффициента калорийности</w:t>
      </w:r>
      <w:r w:rsidRPr="00F65DFB">
        <w:t>.</w:t>
      </w:r>
    </w:p>
    <w:p w:rsidR="00EC6B0F" w:rsidRPr="00F65DFB" w:rsidRDefault="00EC6B0F" w:rsidP="00F65DFB">
      <w:pPr>
        <w:spacing w:after="0" w:line="240" w:lineRule="auto"/>
        <w:jc w:val="both"/>
        <w:rPr>
          <w:sz w:val="18"/>
          <w:szCs w:val="18"/>
        </w:rPr>
      </w:pPr>
      <w:r w:rsidRPr="00F65DFB">
        <w:rPr>
          <w:color w:val="000000"/>
        </w:rPr>
        <w:tab/>
        <w:t>В разрезе нарушений установлено:</w:t>
      </w:r>
    </w:p>
    <w:p w:rsidR="00EC6B0F" w:rsidRPr="00F65DFB" w:rsidRDefault="00EC6B0F" w:rsidP="00F65DFB">
      <w:pPr>
        <w:spacing w:after="0" w:line="240" w:lineRule="auto"/>
        <w:jc w:val="both"/>
        <w:rPr>
          <w:sz w:val="18"/>
          <w:szCs w:val="18"/>
        </w:rPr>
      </w:pPr>
      <w:r w:rsidRPr="00F65DFB">
        <w:rPr>
          <w:color w:val="000000"/>
        </w:rPr>
        <w:tab/>
        <w:t xml:space="preserve">– по учреждениям образования и воспитания: не рациональное составление расписания учебных занятий, графиков контрольных работ; </w:t>
      </w:r>
      <w:r w:rsidRPr="00F65DFB">
        <w:t>факультативные занятия проводятся  в дни с большой основной учебной нагрузкой</w:t>
      </w:r>
      <w:r w:rsidRPr="00F65DFB">
        <w:rPr>
          <w:color w:val="000000"/>
        </w:rPr>
        <w:t>; нарушение технологических процессов при приготовлении кулинарных изделий и блюд; использование кухонной посуды и разделочного инвентаря с поврежденной поверхностью и с трещинами; хранение пищевых продуктов не по видам продукции;</w:t>
      </w:r>
      <w:r w:rsidRPr="00F65DFB">
        <w:t xml:space="preserve"> осуществление горячего питания не по дневным (суточным) рационам на основе примерных двухнедельных рационов;</w:t>
      </w:r>
      <w:r w:rsidRPr="00F65DFB">
        <w:rPr>
          <w:color w:val="000000"/>
        </w:rPr>
        <w:t xml:space="preserve"> хранение уборочного инвентаря не в специальном выделенном месте; не соблюдение </w:t>
      </w:r>
      <w:r w:rsidRPr="00F65DFB">
        <w:t xml:space="preserve">работниками объектов питания правил личной гигиены; использование в </w:t>
      </w:r>
      <w:r w:rsidRPr="00F65DFB">
        <w:rPr>
          <w:color w:val="000000"/>
        </w:rPr>
        <w:t>питании одноименных блюд в течение одного дня;</w:t>
      </w:r>
    </w:p>
    <w:p w:rsidR="00EC6B0F" w:rsidRPr="00F65DFB" w:rsidRDefault="00EC6B0F" w:rsidP="00F65DFB">
      <w:pPr>
        <w:spacing w:after="0" w:line="240" w:lineRule="auto"/>
        <w:jc w:val="both"/>
        <w:rPr>
          <w:sz w:val="18"/>
          <w:szCs w:val="18"/>
        </w:rPr>
      </w:pPr>
      <w:r w:rsidRPr="00F65DFB">
        <w:rPr>
          <w:color w:val="000000"/>
        </w:rPr>
        <w:tab/>
        <w:t>– по оздоровительным учреждениям: </w:t>
      </w:r>
      <w:r w:rsidRPr="00F65DFB">
        <w:t xml:space="preserve">оздоровительная организация не оборудована мебелью, отвечающей по функциональным размерам детей; использование постельного белья в ненадлежащем состоянии; неправильное хранение полотенец и резиновых ковриков для мытья ног; несоблюдение работниками пищеблоков правил личной гигиены; использование в питании детей одноименных блюд в течение двух дней подряд; </w:t>
      </w:r>
      <w:r w:rsidRPr="00F65DFB">
        <w:rPr>
          <w:color w:val="000000"/>
        </w:rPr>
        <w:t>невыполнение натуральных норм питания по фруктам и овощам;</w:t>
      </w:r>
    </w:p>
    <w:p w:rsidR="00EC6B0F" w:rsidRPr="00F65DFB" w:rsidRDefault="00EC6B0F" w:rsidP="00F65DFB">
      <w:pPr>
        <w:spacing w:after="0" w:line="240" w:lineRule="auto"/>
        <w:ind w:firstLine="709"/>
        <w:jc w:val="both"/>
        <w:rPr>
          <w:sz w:val="18"/>
          <w:szCs w:val="18"/>
        </w:rPr>
      </w:pPr>
      <w:r w:rsidRPr="00F65DFB">
        <w:rPr>
          <w:color w:val="000000"/>
        </w:rPr>
        <w:t>– по объектам торговли: отсутствие маркировки и документов о качестве и безопасности при реализации товаров для детей.  </w:t>
      </w:r>
    </w:p>
    <w:p w:rsidR="00EC6B0F" w:rsidRPr="00F65DFB" w:rsidRDefault="00EC6B0F" w:rsidP="00F65DFB">
      <w:pPr>
        <w:spacing w:after="0" w:line="240" w:lineRule="auto"/>
        <w:ind w:firstLine="709"/>
        <w:jc w:val="both"/>
        <w:rPr>
          <w:color w:val="000000"/>
        </w:rPr>
      </w:pPr>
      <w:r w:rsidRPr="00F65DFB">
        <w:rPr>
          <w:color w:val="000000"/>
        </w:rPr>
        <w:t xml:space="preserve">По результатам надзорных мероприятий выдано </w:t>
      </w:r>
      <w:r w:rsidR="00F65DFB" w:rsidRPr="00F65DFB">
        <w:rPr>
          <w:color w:val="000000"/>
        </w:rPr>
        <w:t>39</w:t>
      </w:r>
      <w:r w:rsidR="00F65DFB" w:rsidRPr="00F65DFB">
        <w:rPr>
          <w:color w:val="000000"/>
        </w:rPr>
        <w:t xml:space="preserve"> писем-требований </w:t>
      </w:r>
      <w:r w:rsidRPr="00F65DFB">
        <w:rPr>
          <w:color w:val="000000"/>
        </w:rPr>
        <w:t>предписаний о запрещении реализации товаров – 17. По ходатайствам госсаннадзора привлечены к дисциплинарной ответственности 2 должностных лица, вынесено 13 постановлений об административной ответственности.</w:t>
      </w:r>
    </w:p>
    <w:p w:rsidR="00EC6B0F" w:rsidRPr="00F65DFB" w:rsidRDefault="00EC6B0F" w:rsidP="00F65DFB">
      <w:pPr>
        <w:spacing w:after="0" w:line="240" w:lineRule="auto"/>
        <w:ind w:firstLine="709"/>
        <w:jc w:val="both"/>
        <w:rPr>
          <w:color w:val="000000"/>
        </w:rPr>
      </w:pPr>
      <w:r w:rsidRPr="00F65DFB">
        <w:rPr>
          <w:color w:val="000000"/>
        </w:rPr>
        <w:t xml:space="preserve">Контрольно-надзорными мероприятиями и обследованиями охвачено 19 субъектов хозяйствования промышленных предприятий и сельского хозяйства, что составляет 50 % от общего числа стоящих на надзоре, в </w:t>
      </w:r>
      <w:proofErr w:type="spellStart"/>
      <w:r w:rsidRPr="00F65DFB">
        <w:rPr>
          <w:color w:val="000000"/>
        </w:rPr>
        <w:t>т.ч</w:t>
      </w:r>
      <w:proofErr w:type="spellEnd"/>
      <w:r w:rsidRPr="00F65DFB">
        <w:rPr>
          <w:color w:val="000000"/>
        </w:rPr>
        <w:t xml:space="preserve">. 31 субъект хозяйствования, обследован специалистами Лельчицкого районного ЦГЭ в составе межведомственных рабочих групп по контролю </w:t>
      </w:r>
      <w:r w:rsidR="00F65DFB" w:rsidRPr="00F65DFB">
        <w:rPr>
          <w:color w:val="000000"/>
        </w:rPr>
        <w:t xml:space="preserve">за </w:t>
      </w:r>
      <w:r w:rsidR="00F65DFB" w:rsidRPr="00F65DFB">
        <w:rPr>
          <w:color w:val="000000"/>
        </w:rPr>
        <w:lastRenderedPageBreak/>
        <w:t>соблюдением</w:t>
      </w:r>
      <w:r w:rsidRPr="00F65DFB">
        <w:rPr>
          <w:color w:val="000000"/>
        </w:rPr>
        <w:t xml:space="preserve"> нанимателем требований законодательства по условиям труда работающих, наведению порядка на территориях,</w:t>
      </w:r>
      <w:r w:rsidRPr="00F65DFB">
        <w:t xml:space="preserve"> </w:t>
      </w:r>
      <w:r w:rsidRPr="00F65DFB">
        <w:rPr>
          <w:color w:val="000000"/>
        </w:rPr>
        <w:t>что составляет 81,58 % от общего числа стоящих на надзоре.</w:t>
      </w:r>
    </w:p>
    <w:p w:rsidR="00EC6B0F" w:rsidRPr="00F65DFB" w:rsidRDefault="00EC6B0F" w:rsidP="00F65DFB">
      <w:pPr>
        <w:spacing w:after="0" w:line="240" w:lineRule="auto"/>
        <w:ind w:firstLine="709"/>
        <w:jc w:val="both"/>
      </w:pPr>
      <w:r w:rsidRPr="00F65DFB">
        <w:t>Основные нарушения: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содержание производственной и прилегающей территории – 58,33 %;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содержание производственных и санитарно-бытовых помещений – 75,1 %;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установка, функционирование и паспортизация вентиляционных систем – 8,3 %;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организация производственного лабораторного контроля факторов производственной среды – 8,33 %;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обеспечение и оснащения санитарно-бытовыми помещения – 83,33 %;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организация медицинского обслуживания работающих – 33,33 %;</w:t>
      </w:r>
    </w:p>
    <w:p w:rsidR="00EC6B0F" w:rsidRPr="00F65DFB" w:rsidRDefault="00EC6B0F" w:rsidP="00F65DFB">
      <w:pPr>
        <w:spacing w:after="0" w:line="240" w:lineRule="auto"/>
        <w:jc w:val="both"/>
      </w:pPr>
      <w:r w:rsidRPr="00F65DFB">
        <w:t xml:space="preserve"> – обеспечение и использование работающими СИЗ, спецодежды –25,1 %;</w:t>
      </w:r>
    </w:p>
    <w:p w:rsidR="00EC6B0F" w:rsidRPr="00F65DFB" w:rsidRDefault="00EC6B0F" w:rsidP="00F65DFB">
      <w:pPr>
        <w:spacing w:after="0" w:line="240" w:lineRule="auto"/>
        <w:ind w:firstLine="709"/>
        <w:jc w:val="both"/>
      </w:pPr>
      <w:r w:rsidRPr="00F65DFB">
        <w:t>В отношении субъектов хозяйствования направлено 2 рекомендаций и 4 предписания по устранению выявленных нарушений. Направлено 8 информационных писем в Лельчицкий районный исполнительный комитет и ведомства. К административной ответственности привлечено 2 юридически</w:t>
      </w:r>
      <w:r w:rsidR="00F65DFB" w:rsidRPr="00F65DFB">
        <w:t>х</w:t>
      </w:r>
      <w:r w:rsidRPr="00F65DFB">
        <w:t xml:space="preserve"> и 4 должностных лица.</w:t>
      </w:r>
    </w:p>
    <w:p w:rsidR="00EC6B0F" w:rsidRPr="00F65DFB" w:rsidRDefault="00EC6B0F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F65DFB">
        <w:rPr>
          <w:color w:val="000000"/>
          <w:sz w:val="28"/>
          <w:szCs w:val="28"/>
        </w:rPr>
        <w:t xml:space="preserve">За </w:t>
      </w:r>
      <w:r w:rsidR="00E7797B" w:rsidRPr="00F65DFB">
        <w:rPr>
          <w:color w:val="000000"/>
          <w:sz w:val="28"/>
          <w:szCs w:val="28"/>
        </w:rPr>
        <w:t>первое</w:t>
      </w:r>
      <w:r w:rsidRPr="00F65DFB">
        <w:rPr>
          <w:color w:val="000000"/>
          <w:sz w:val="28"/>
          <w:szCs w:val="28"/>
        </w:rPr>
        <w:t xml:space="preserve"> полугодие 202</w:t>
      </w:r>
      <w:r w:rsidR="00E7797B" w:rsidRPr="00F65DFB">
        <w:rPr>
          <w:color w:val="000000"/>
          <w:sz w:val="28"/>
          <w:szCs w:val="28"/>
        </w:rPr>
        <w:t>4</w:t>
      </w:r>
      <w:r w:rsidRPr="00F65DFB">
        <w:rPr>
          <w:color w:val="000000"/>
          <w:sz w:val="28"/>
          <w:szCs w:val="28"/>
        </w:rPr>
        <w:t xml:space="preserve"> года по разделу коммунальной гигиены проведено 28 надзорных мероприятий (мероприятий технического (технологического) характера – 1, мониторингов – </w:t>
      </w:r>
      <w:r w:rsidR="00E7797B" w:rsidRPr="00F65DFB">
        <w:rPr>
          <w:color w:val="000000"/>
          <w:sz w:val="28"/>
          <w:szCs w:val="28"/>
        </w:rPr>
        <w:t>6</w:t>
      </w:r>
      <w:r w:rsidRPr="00F65DFB">
        <w:rPr>
          <w:color w:val="000000"/>
          <w:sz w:val="28"/>
          <w:szCs w:val="28"/>
        </w:rPr>
        <w:t xml:space="preserve">, посещений – </w:t>
      </w:r>
      <w:r w:rsidR="00E7797B" w:rsidRPr="00F65DFB">
        <w:rPr>
          <w:color w:val="000000"/>
          <w:sz w:val="28"/>
          <w:szCs w:val="28"/>
        </w:rPr>
        <w:t>32</w:t>
      </w:r>
      <w:r w:rsidRPr="00F65DFB">
        <w:rPr>
          <w:color w:val="000000"/>
          <w:sz w:val="28"/>
          <w:szCs w:val="28"/>
        </w:rPr>
        <w:t>) по соблюдению требований санитарно-эпидемиологического законодательства на объектах водоснабжения, бытового обслуживания, мест погребения, торговых объектах (непродовольственная группа), объектах являющимися источниками загрязнения атмосферного воздуха, мест отдыха населения, объектах культуры и др., в том числе и санитарного состояния территорий объектов, населенных пунктов и частных подворий.</w:t>
      </w:r>
    </w:p>
    <w:p w:rsidR="00EC6B0F" w:rsidRPr="00F65DFB" w:rsidRDefault="00EC6B0F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F65DFB">
        <w:rPr>
          <w:color w:val="000000"/>
          <w:sz w:val="28"/>
          <w:szCs w:val="28"/>
        </w:rPr>
        <w:t> В рамках проведения надзорных мероприятий охвачены 6</w:t>
      </w:r>
      <w:r w:rsidR="00E7797B" w:rsidRPr="00F65DFB">
        <w:rPr>
          <w:color w:val="000000"/>
          <w:sz w:val="28"/>
          <w:szCs w:val="28"/>
        </w:rPr>
        <w:t>3</w:t>
      </w:r>
      <w:r w:rsidR="00F65DFB" w:rsidRPr="00F65DFB">
        <w:rPr>
          <w:color w:val="000000"/>
          <w:sz w:val="28"/>
          <w:szCs w:val="28"/>
        </w:rPr>
        <w:t xml:space="preserve"> объекта</w:t>
      </w:r>
      <w:r w:rsidRPr="00F65DFB">
        <w:rPr>
          <w:color w:val="000000"/>
          <w:sz w:val="28"/>
          <w:szCs w:val="28"/>
        </w:rPr>
        <w:t xml:space="preserve"> водоснабжения, </w:t>
      </w:r>
      <w:r w:rsidR="00E7797B" w:rsidRPr="00F65DFB">
        <w:rPr>
          <w:color w:val="000000"/>
          <w:sz w:val="28"/>
          <w:szCs w:val="28"/>
        </w:rPr>
        <w:t>144</w:t>
      </w:r>
      <w:r w:rsidRPr="00F65DFB">
        <w:rPr>
          <w:color w:val="000000"/>
          <w:sz w:val="28"/>
          <w:szCs w:val="28"/>
        </w:rPr>
        <w:t xml:space="preserve"> коммунальных объектов (жилые дома, объекты культуры, бытового обслуживания, торговли</w:t>
      </w:r>
      <w:r w:rsidR="00F65DFB" w:rsidRPr="00F65DFB">
        <w:rPr>
          <w:color w:val="000000"/>
          <w:sz w:val="28"/>
          <w:szCs w:val="28"/>
        </w:rPr>
        <w:t xml:space="preserve">, </w:t>
      </w:r>
      <w:r w:rsidRPr="00F65DFB">
        <w:rPr>
          <w:color w:val="000000"/>
          <w:sz w:val="28"/>
          <w:szCs w:val="28"/>
        </w:rPr>
        <w:t xml:space="preserve">населенные пункты и др.). В рамках социально-гигиенического мониторинга проведено </w:t>
      </w:r>
      <w:r w:rsidR="00E7797B" w:rsidRPr="00F65DFB">
        <w:rPr>
          <w:color w:val="000000"/>
          <w:sz w:val="28"/>
          <w:szCs w:val="28"/>
        </w:rPr>
        <w:t>326</w:t>
      </w:r>
      <w:r w:rsidR="00F65DFB" w:rsidRPr="00F65DFB">
        <w:rPr>
          <w:color w:val="000000"/>
          <w:sz w:val="28"/>
          <w:szCs w:val="28"/>
        </w:rPr>
        <w:t xml:space="preserve"> исследований </w:t>
      </w:r>
      <w:r w:rsidRPr="00F65DFB">
        <w:rPr>
          <w:color w:val="000000"/>
          <w:sz w:val="28"/>
          <w:szCs w:val="28"/>
        </w:rPr>
        <w:t xml:space="preserve">выбросов вредных веществ в атмосферный воздух на границах санитарно-защитных зон предприятий. Превышения предельно-допустимых концентраций вредных веществ в атмосферном воздухе не установлены. Обеспечивается постоянный лабораторный контроль за безопасностью подаваемой населению питьевой воды, исследовано </w:t>
      </w:r>
      <w:r w:rsidR="00F65DFB" w:rsidRPr="00F65DFB">
        <w:rPr>
          <w:color w:val="000000"/>
          <w:sz w:val="28"/>
          <w:szCs w:val="28"/>
        </w:rPr>
        <w:t xml:space="preserve">360 </w:t>
      </w:r>
      <w:r w:rsidRPr="00F65DFB">
        <w:rPr>
          <w:color w:val="000000"/>
          <w:sz w:val="28"/>
          <w:szCs w:val="28"/>
        </w:rPr>
        <w:t>проб питьевой воды по микробиологическим показате</w:t>
      </w:r>
      <w:r w:rsidR="00F65DFB" w:rsidRPr="00F65DFB">
        <w:rPr>
          <w:color w:val="000000"/>
          <w:sz w:val="28"/>
          <w:szCs w:val="28"/>
        </w:rPr>
        <w:t>лям</w:t>
      </w:r>
      <w:r w:rsidRPr="00F65DFB">
        <w:rPr>
          <w:color w:val="000000"/>
          <w:sz w:val="28"/>
          <w:szCs w:val="28"/>
        </w:rPr>
        <w:t xml:space="preserve">, </w:t>
      </w:r>
      <w:r w:rsidR="00F65DFB" w:rsidRPr="00F65DFB">
        <w:rPr>
          <w:color w:val="000000"/>
          <w:sz w:val="28"/>
          <w:szCs w:val="28"/>
        </w:rPr>
        <w:t xml:space="preserve">217 проб </w:t>
      </w:r>
      <w:r w:rsidRPr="00F65DFB">
        <w:rPr>
          <w:color w:val="000000"/>
          <w:sz w:val="28"/>
          <w:szCs w:val="28"/>
        </w:rPr>
        <w:t>из них 2</w:t>
      </w:r>
      <w:r w:rsidR="00E7797B" w:rsidRPr="00F65DFB">
        <w:rPr>
          <w:color w:val="000000"/>
          <w:sz w:val="28"/>
          <w:szCs w:val="28"/>
        </w:rPr>
        <w:t>6</w:t>
      </w:r>
      <w:r w:rsidRPr="00F65DFB">
        <w:rPr>
          <w:color w:val="000000"/>
          <w:sz w:val="28"/>
          <w:szCs w:val="28"/>
        </w:rPr>
        <w:t xml:space="preserve"> проб из источников децентрализованного водоснабжения, по санитарно-химическим показателям</w:t>
      </w:r>
      <w:r w:rsidR="00F65DFB" w:rsidRPr="00F65DFB">
        <w:rPr>
          <w:color w:val="000000"/>
          <w:sz w:val="28"/>
          <w:szCs w:val="28"/>
        </w:rPr>
        <w:t xml:space="preserve">. </w:t>
      </w:r>
      <w:r w:rsidRPr="00F65DFB">
        <w:rPr>
          <w:color w:val="000000"/>
          <w:sz w:val="28"/>
          <w:szCs w:val="28"/>
        </w:rPr>
        <w:t xml:space="preserve">По микробиологическим показателям установлены несоответствия в </w:t>
      </w:r>
      <w:r w:rsidR="00E7797B" w:rsidRPr="00F65DFB">
        <w:rPr>
          <w:color w:val="000000"/>
          <w:sz w:val="28"/>
          <w:szCs w:val="28"/>
        </w:rPr>
        <w:t>3</w:t>
      </w:r>
      <w:r w:rsidRPr="00F65DFB">
        <w:rPr>
          <w:color w:val="000000"/>
          <w:sz w:val="28"/>
          <w:szCs w:val="28"/>
        </w:rPr>
        <w:t xml:space="preserve"> пробах питьевой воды, в том числе в 2 пробах из источников децентрализованного водоснабжения, по санитарно-химическим показателям установлены несоответствия в </w:t>
      </w:r>
      <w:r w:rsidR="00E7797B" w:rsidRPr="00F65DFB">
        <w:rPr>
          <w:color w:val="000000"/>
          <w:sz w:val="28"/>
          <w:szCs w:val="28"/>
        </w:rPr>
        <w:t>60</w:t>
      </w:r>
      <w:r w:rsidRPr="00F65DFB">
        <w:rPr>
          <w:color w:val="000000"/>
          <w:sz w:val="28"/>
          <w:szCs w:val="28"/>
        </w:rPr>
        <w:t xml:space="preserve"> пробах, из них в </w:t>
      </w:r>
      <w:r w:rsidR="00E7797B" w:rsidRPr="00F65DFB">
        <w:rPr>
          <w:color w:val="000000"/>
          <w:sz w:val="28"/>
          <w:szCs w:val="28"/>
        </w:rPr>
        <w:t>2</w:t>
      </w:r>
      <w:r w:rsidRPr="00F65DFB">
        <w:rPr>
          <w:color w:val="000000"/>
          <w:sz w:val="28"/>
          <w:szCs w:val="28"/>
        </w:rPr>
        <w:t xml:space="preserve"> пробах из источников децентрализованного водоснабжения. Несоответствие в питьевой воде из централизованных систем питьевого водоснабжения обусловлено </w:t>
      </w:r>
      <w:r w:rsidRPr="00F65DFB">
        <w:rPr>
          <w:color w:val="000000"/>
          <w:sz w:val="28"/>
          <w:szCs w:val="28"/>
        </w:rPr>
        <w:lastRenderedPageBreak/>
        <w:t>повышенным содержанием железа, в источниках децентрализованного водоснабжения – содержанием нитратов.</w:t>
      </w:r>
    </w:p>
    <w:p w:rsidR="00EC6B0F" w:rsidRPr="00F65DFB" w:rsidRDefault="00EC6B0F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F65DFB">
        <w:rPr>
          <w:color w:val="000000"/>
          <w:sz w:val="28"/>
          <w:szCs w:val="28"/>
        </w:rPr>
        <w:t>В разрезе нарушений по разделу коммунальной гигиены установлено:</w:t>
      </w:r>
    </w:p>
    <w:p w:rsidR="00EC6B0F" w:rsidRPr="00F65DFB" w:rsidRDefault="00EC6B0F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F65DFB">
        <w:rPr>
          <w:color w:val="000000"/>
          <w:sz w:val="28"/>
          <w:szCs w:val="28"/>
        </w:rPr>
        <w:t>- по объектам водоснабжения: несоблюдение режима деятельности в зонах санитарной охраны первого пояса источников водоснабжения, нарушения санитарного содержания павильонов и оборудования артезианских скважин;</w:t>
      </w:r>
    </w:p>
    <w:p w:rsidR="00EC6B0F" w:rsidRPr="00F65DFB" w:rsidRDefault="00EC6B0F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DFB">
        <w:rPr>
          <w:color w:val="000000"/>
          <w:sz w:val="28"/>
          <w:szCs w:val="28"/>
        </w:rPr>
        <w:t xml:space="preserve">- по коммунальным объектам: нарушения санитарно-противоэпидемического режима на объектах бытового обслуживания (режимы дезинфекции инструментов в парикмахерских); несоблюдение сроков годности при реализации парфюмерно-косметической продукции, отсутствие маркировки и документов о качестве и безопасности при реализации товаров легкой промышленности на объектах торговли; нарушения санитарного содержания территорий (покос и уборка сорной растительности и мусора, а также в холодный период года – несвоевременное проведение </w:t>
      </w:r>
      <w:proofErr w:type="spellStart"/>
      <w:r w:rsidRPr="00F65DFB">
        <w:rPr>
          <w:color w:val="000000"/>
          <w:sz w:val="28"/>
          <w:szCs w:val="28"/>
        </w:rPr>
        <w:t>противогололедных</w:t>
      </w:r>
      <w:proofErr w:type="spellEnd"/>
      <w:r w:rsidRPr="00F65DFB">
        <w:rPr>
          <w:color w:val="000000"/>
          <w:sz w:val="28"/>
          <w:szCs w:val="28"/>
        </w:rPr>
        <w:t xml:space="preserve"> мероприятий).</w:t>
      </w:r>
    </w:p>
    <w:p w:rsidR="00F65DFB" w:rsidRPr="00F65DFB" w:rsidRDefault="00F65DFB" w:rsidP="00F65D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6B0F" w:rsidRPr="00F65DFB" w:rsidRDefault="00EC6B0F" w:rsidP="00F65DFB">
      <w:pPr>
        <w:spacing w:after="0" w:line="240" w:lineRule="auto"/>
        <w:ind w:firstLine="709"/>
        <w:jc w:val="both"/>
        <w:rPr>
          <w:color w:val="000000"/>
        </w:rPr>
      </w:pPr>
    </w:p>
    <w:sectPr w:rsidR="00EC6B0F" w:rsidRPr="00F65DFB" w:rsidSect="00E72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8C"/>
    <w:rsid w:val="0002505C"/>
    <w:rsid w:val="00053CD3"/>
    <w:rsid w:val="001061EC"/>
    <w:rsid w:val="00204D49"/>
    <w:rsid w:val="0027426A"/>
    <w:rsid w:val="0029174A"/>
    <w:rsid w:val="00334ECC"/>
    <w:rsid w:val="00336573"/>
    <w:rsid w:val="003736AE"/>
    <w:rsid w:val="003A41ED"/>
    <w:rsid w:val="003B043B"/>
    <w:rsid w:val="003B6247"/>
    <w:rsid w:val="004674D7"/>
    <w:rsid w:val="004808DB"/>
    <w:rsid w:val="004B77D6"/>
    <w:rsid w:val="00507105"/>
    <w:rsid w:val="006551C5"/>
    <w:rsid w:val="00667A56"/>
    <w:rsid w:val="00682348"/>
    <w:rsid w:val="006D198C"/>
    <w:rsid w:val="00715ADB"/>
    <w:rsid w:val="00747B60"/>
    <w:rsid w:val="00870047"/>
    <w:rsid w:val="008C063F"/>
    <w:rsid w:val="00901F46"/>
    <w:rsid w:val="0099114F"/>
    <w:rsid w:val="009F204A"/>
    <w:rsid w:val="00A2697D"/>
    <w:rsid w:val="00A5257A"/>
    <w:rsid w:val="00A52635"/>
    <w:rsid w:val="00A948B8"/>
    <w:rsid w:val="00BF1DD6"/>
    <w:rsid w:val="00C567C4"/>
    <w:rsid w:val="00C6174F"/>
    <w:rsid w:val="00C7496C"/>
    <w:rsid w:val="00CA1388"/>
    <w:rsid w:val="00D46C66"/>
    <w:rsid w:val="00D508A7"/>
    <w:rsid w:val="00D86916"/>
    <w:rsid w:val="00DA1102"/>
    <w:rsid w:val="00E72E42"/>
    <w:rsid w:val="00E7797B"/>
    <w:rsid w:val="00EC6B0F"/>
    <w:rsid w:val="00EF555F"/>
    <w:rsid w:val="00F43718"/>
    <w:rsid w:val="00F65DFB"/>
    <w:rsid w:val="00F67E8D"/>
    <w:rsid w:val="00F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4F357"/>
  <w15:docId w15:val="{B501B238-A933-431B-90CE-7D2F921F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DB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C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6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Специалистами Лельчицкого районного ЦГЭ в первом полугодии т</vt:lpstr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Специалистами Лельчицкого районного ЦГЭ в первом полугодии т</dc:title>
  <dc:subject/>
  <dc:creator>Питание</dc:creator>
  <cp:keywords/>
  <dc:description/>
  <cp:lastModifiedBy>Секретарь</cp:lastModifiedBy>
  <cp:revision>21</cp:revision>
  <cp:lastPrinted>2024-01-10T13:26:00Z</cp:lastPrinted>
  <dcterms:created xsi:type="dcterms:W3CDTF">2023-06-28T13:29:00Z</dcterms:created>
  <dcterms:modified xsi:type="dcterms:W3CDTF">2024-07-11T06:13:00Z</dcterms:modified>
</cp:coreProperties>
</file>